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Name: _____________________________________  Period: ______________  Date: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Thin and Thick Research Questions - Exit Slip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Directions: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Read through the thin and thick research questions your group brainstormed.  Select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one thin question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one thick question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that you would like to research for your Pic Collage.  These two questions should be related.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Research Topic: 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500.0" w:type="dxa"/>
        <w:jc w:val="left"/>
        <w:tblInd w:w="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75"/>
        <w:gridCol w:w="5025"/>
        <w:tblGridChange w:id="0">
          <w:tblGrid>
            <w:gridCol w:w="5475"/>
            <w:gridCol w:w="50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Thin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6"/>
                <w:szCs w:val="36"/>
                <w:rtl w:val="0"/>
              </w:rPr>
              <w:t xml:space="preserve">Thick Question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Name: _____________________________________  Period: ______________  Date: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Thin and Thick Research Questions - Exit Slip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Directions: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Read through the thin and thick research questions your group brainstormed.  Select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one thin question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one thick question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that you would like to research for your Pic Collage.  These two questions should be related.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Research Topic: 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500.0" w:type="dxa"/>
        <w:jc w:val="left"/>
        <w:tblInd w:w="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75"/>
        <w:gridCol w:w="5025"/>
        <w:tblGridChange w:id="0">
          <w:tblGrid>
            <w:gridCol w:w="5475"/>
            <w:gridCol w:w="50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Thin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6"/>
                <w:szCs w:val="36"/>
                <w:rtl w:val="0"/>
              </w:rPr>
              <w:t xml:space="preserve">Thick Question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